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6087" w14:textId="5A9C313C" w:rsidR="003B684B" w:rsidRDefault="003B684B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30 DIAS</w:t>
      </w:r>
    </w:p>
    <w:p w14:paraId="4B1C8050" w14:textId="6AD3139D" w:rsidR="00256427" w:rsidRDefault="009E73DC" w:rsidP="006D54E2">
      <w:pPr>
        <w:spacing w:before="100" w:beforeAutospacing="1"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Conheça as m</w:t>
      </w:r>
      <w:r w:rsidR="003B684B" w:rsidRPr="003B684B">
        <w:rPr>
          <w:rFonts w:ascii="Tahoma" w:hAnsi="Tahoma" w:cs="Tahoma"/>
          <w:b/>
        </w:rPr>
        <w:t>edidas tomadas pelo Gabinete de Intervenção na Saúde de Cuiabá</w:t>
      </w:r>
    </w:p>
    <w:p w14:paraId="387D90DC" w14:textId="76D18C2F" w:rsidR="003B684B" w:rsidRDefault="003B684B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Gabinete de Intervenção do Estado assumiu a Saúde de Cuiabá há pouco mais de 30 dias e, nesse período, implementou medidas para melhorar o atendimento à população, como a retomada das cirurgias eletivas</w:t>
      </w:r>
      <w:r w:rsidR="00624225">
        <w:rPr>
          <w:rFonts w:ascii="Tahoma" w:hAnsi="Tahoma" w:cs="Tahoma"/>
        </w:rPr>
        <w:t>, reabertura de leitos de UTI, contratação de médicos e compra de medicamentos.</w:t>
      </w:r>
    </w:p>
    <w:p w14:paraId="78D8F8C0" w14:textId="5645FCD9" w:rsidR="003B684B" w:rsidRDefault="00F15F11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intervenção </w:t>
      </w:r>
      <w:r w:rsidR="009E73DC">
        <w:rPr>
          <w:rFonts w:ascii="Tahoma" w:hAnsi="Tahoma" w:cs="Tahoma"/>
        </w:rPr>
        <w:t xml:space="preserve">na capital </w:t>
      </w:r>
      <w:r>
        <w:rPr>
          <w:rFonts w:ascii="Tahoma" w:hAnsi="Tahoma" w:cs="Tahoma"/>
        </w:rPr>
        <w:t xml:space="preserve">teve início no dia 15 de março, após decisão </w:t>
      </w:r>
      <w:r w:rsidR="009E73DC">
        <w:rPr>
          <w:rFonts w:ascii="Tahoma" w:hAnsi="Tahoma" w:cs="Tahoma"/>
        </w:rPr>
        <w:t>d</w:t>
      </w:r>
      <w:r>
        <w:rPr>
          <w:rFonts w:ascii="Tahoma" w:hAnsi="Tahoma" w:cs="Tahoma"/>
        </w:rPr>
        <w:t>o Tribunal de Justiça de Mato Grosso, acatando pedido do Ministério Público do Estado, que apontou diversas irregularidades</w:t>
      </w:r>
      <w:r w:rsidR="00062DCB">
        <w:rPr>
          <w:rFonts w:ascii="Tahoma" w:hAnsi="Tahoma" w:cs="Tahoma"/>
        </w:rPr>
        <w:t xml:space="preserve"> na gestão municipal</w:t>
      </w:r>
      <w:r>
        <w:rPr>
          <w:rFonts w:ascii="Tahoma" w:hAnsi="Tahoma" w:cs="Tahoma"/>
        </w:rPr>
        <w:t>, como falta de médicos, medicamentos vencidos e desorganização das finanças da Secretaria Municipal de Saúde e Empresa Cuiabana de Saúde.</w:t>
      </w:r>
    </w:p>
    <w:p w14:paraId="6C0EE221" w14:textId="22A1DBBD" w:rsidR="00F15F11" w:rsidRDefault="009E73DC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Agora ca</w:t>
      </w:r>
      <w:r w:rsidR="00F15F11">
        <w:rPr>
          <w:rFonts w:ascii="Tahoma" w:hAnsi="Tahoma" w:cs="Tahoma"/>
        </w:rPr>
        <w:t>be ao Gabinete de Intervenção</w:t>
      </w:r>
      <w:r w:rsidR="00062DCB">
        <w:rPr>
          <w:rFonts w:ascii="Tahoma" w:hAnsi="Tahoma" w:cs="Tahoma"/>
        </w:rPr>
        <w:t xml:space="preserve"> </w:t>
      </w:r>
      <w:r w:rsidR="00062DCB" w:rsidRPr="004E0847">
        <w:rPr>
          <w:rFonts w:ascii="Tahoma" w:hAnsi="Tahoma" w:cs="Tahoma"/>
        </w:rPr>
        <w:t>reorganizar a administração do setor e cumprir decisões judiciais que determinam a realização de cirurgias, disponibilização de consultas e medicamentos, entre outras demandas reprimidas da saúde pública municipal.</w:t>
      </w:r>
    </w:p>
    <w:p w14:paraId="44BAEB9D" w14:textId="53917836" w:rsidR="00062DCB" w:rsidRPr="003B684B" w:rsidRDefault="00062DCB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Confira como estava a situação da saúde municipal e as medidas adotadas pela intervenção para diminuir os problemas do setor:</w:t>
      </w:r>
    </w:p>
    <w:p w14:paraId="34D646FD" w14:textId="1743D360" w:rsidR="003B684B" w:rsidRDefault="003B684B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B684B" w:rsidRPr="003B684B" w14:paraId="298E0E13" w14:textId="77777777" w:rsidTr="003B684B">
        <w:tc>
          <w:tcPr>
            <w:tcW w:w="2831" w:type="dxa"/>
          </w:tcPr>
          <w:p w14:paraId="2F365DEE" w14:textId="4825099E" w:rsidR="003B684B" w:rsidRPr="003B684B" w:rsidRDefault="003B684B" w:rsidP="006033AC">
            <w:pPr>
              <w:spacing w:before="100" w:beforeAutospacing="1"/>
              <w:jc w:val="both"/>
              <w:rPr>
                <w:rFonts w:ascii="Tahoma" w:hAnsi="Tahoma" w:cs="Tahoma"/>
                <w:b/>
              </w:rPr>
            </w:pPr>
            <w:r w:rsidRPr="003B684B">
              <w:rPr>
                <w:rFonts w:ascii="Tahoma" w:hAnsi="Tahoma" w:cs="Tahoma"/>
                <w:b/>
              </w:rPr>
              <w:t>Medida</w:t>
            </w:r>
            <w:r w:rsidR="006033AC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31" w:type="dxa"/>
          </w:tcPr>
          <w:p w14:paraId="53BE3DB7" w14:textId="39AD7488" w:rsidR="003B684B" w:rsidRPr="003B684B" w:rsidRDefault="003B684B" w:rsidP="006D54E2">
            <w:pPr>
              <w:spacing w:before="100" w:beforeAutospacing="1"/>
              <w:jc w:val="both"/>
              <w:rPr>
                <w:rFonts w:ascii="Tahoma" w:hAnsi="Tahoma" w:cs="Tahoma"/>
                <w:b/>
              </w:rPr>
            </w:pPr>
            <w:r w:rsidRPr="003B684B">
              <w:rPr>
                <w:rFonts w:ascii="Tahoma" w:hAnsi="Tahoma" w:cs="Tahoma"/>
                <w:b/>
              </w:rPr>
              <w:t>Como era antes</w:t>
            </w:r>
            <w:r w:rsidR="00062DCB">
              <w:rPr>
                <w:rFonts w:ascii="Tahoma" w:hAnsi="Tahoma" w:cs="Tahoma"/>
                <w:b/>
              </w:rPr>
              <w:t xml:space="preserve"> (gestão municipal)</w:t>
            </w:r>
          </w:p>
        </w:tc>
        <w:tc>
          <w:tcPr>
            <w:tcW w:w="2832" w:type="dxa"/>
          </w:tcPr>
          <w:p w14:paraId="44526F8B" w14:textId="32EDAB21" w:rsidR="003B684B" w:rsidRPr="003B684B" w:rsidRDefault="003B684B" w:rsidP="006D54E2">
            <w:pPr>
              <w:spacing w:before="100" w:beforeAutospacing="1"/>
              <w:jc w:val="both"/>
              <w:rPr>
                <w:rFonts w:ascii="Tahoma" w:hAnsi="Tahoma" w:cs="Tahoma"/>
                <w:b/>
              </w:rPr>
            </w:pPr>
            <w:r w:rsidRPr="003B684B">
              <w:rPr>
                <w:rFonts w:ascii="Tahoma" w:hAnsi="Tahoma" w:cs="Tahoma"/>
                <w:b/>
              </w:rPr>
              <w:t>Como está</w:t>
            </w:r>
            <w:r w:rsidR="00FA1E93">
              <w:rPr>
                <w:rFonts w:ascii="Tahoma" w:hAnsi="Tahoma" w:cs="Tahoma"/>
                <w:b/>
              </w:rPr>
              <w:t xml:space="preserve"> com a intervenção</w:t>
            </w:r>
          </w:p>
        </w:tc>
      </w:tr>
      <w:tr w:rsidR="003B684B" w14:paraId="32974626" w14:textId="77777777" w:rsidTr="003B684B">
        <w:tc>
          <w:tcPr>
            <w:tcW w:w="2831" w:type="dxa"/>
          </w:tcPr>
          <w:p w14:paraId="2B61FF63" w14:textId="77777777" w:rsidR="003B684B" w:rsidRDefault="003B684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2831" w:type="dxa"/>
          </w:tcPr>
          <w:p w14:paraId="698F30DC" w14:textId="77777777" w:rsidR="003B684B" w:rsidRDefault="003B684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14:paraId="35525518" w14:textId="77777777" w:rsidR="003B684B" w:rsidRDefault="003B684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</w:p>
        </w:tc>
      </w:tr>
      <w:tr w:rsidR="003B684B" w14:paraId="72EEEEA3" w14:textId="77777777" w:rsidTr="003B684B">
        <w:tc>
          <w:tcPr>
            <w:tcW w:w="2831" w:type="dxa"/>
          </w:tcPr>
          <w:p w14:paraId="4F6D3822" w14:textId="10B23148" w:rsidR="003B684B" w:rsidRDefault="009E73DC" w:rsidP="009E73DC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F15F11">
              <w:rPr>
                <w:rFonts w:ascii="Tahoma" w:hAnsi="Tahoma" w:cs="Tahoma"/>
              </w:rPr>
              <w:t>irurgias eletivas</w:t>
            </w:r>
          </w:p>
        </w:tc>
        <w:tc>
          <w:tcPr>
            <w:tcW w:w="2831" w:type="dxa"/>
          </w:tcPr>
          <w:p w14:paraId="2C0F5FEC" w14:textId="62CAE6A1" w:rsidR="003B684B" w:rsidRDefault="00F15F11" w:rsidP="00FA1E93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Suspensas </w:t>
            </w:r>
            <w:r w:rsidR="009E73DC">
              <w:rPr>
                <w:rFonts w:ascii="Tahoma" w:hAnsi="Tahoma" w:cs="Tahoma"/>
              </w:rPr>
              <w:t xml:space="preserve">no antigo Pronto Socorro </w:t>
            </w:r>
            <w:r>
              <w:rPr>
                <w:rFonts w:ascii="Tahoma" w:hAnsi="Tahoma" w:cs="Tahoma"/>
              </w:rPr>
              <w:t xml:space="preserve">desde dezembro de 2022 </w:t>
            </w:r>
          </w:p>
        </w:tc>
        <w:tc>
          <w:tcPr>
            <w:tcW w:w="2832" w:type="dxa"/>
          </w:tcPr>
          <w:p w14:paraId="64DFA5F7" w14:textId="0FA3E664" w:rsidR="003B684B" w:rsidRDefault="00F15F11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Retomadas no di</w:t>
            </w:r>
            <w:r w:rsidR="00FA1E93">
              <w:rPr>
                <w:rFonts w:ascii="Tahoma" w:hAnsi="Tahoma" w:cs="Tahoma"/>
              </w:rPr>
              <w:t>a 10 de abril, com previsão de 6</w:t>
            </w:r>
            <w:r>
              <w:rPr>
                <w:rFonts w:ascii="Tahoma" w:hAnsi="Tahoma" w:cs="Tahoma"/>
              </w:rPr>
              <w:t>00 por mês</w:t>
            </w:r>
          </w:p>
        </w:tc>
      </w:tr>
      <w:tr w:rsidR="00F15F11" w14:paraId="3AE00504" w14:textId="77777777" w:rsidTr="003B684B">
        <w:tc>
          <w:tcPr>
            <w:tcW w:w="2831" w:type="dxa"/>
          </w:tcPr>
          <w:p w14:paraId="4C4BDFCC" w14:textId="639B1F2B" w:rsidR="00F15F11" w:rsidRDefault="00F15F11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Vacinação</w:t>
            </w:r>
          </w:p>
        </w:tc>
        <w:tc>
          <w:tcPr>
            <w:tcW w:w="2831" w:type="dxa"/>
          </w:tcPr>
          <w:p w14:paraId="15D57432" w14:textId="1F39FDB5" w:rsidR="00F15F11" w:rsidRDefault="00F15F11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Suspensa em 10 unidades de saúde</w:t>
            </w:r>
          </w:p>
        </w:tc>
        <w:tc>
          <w:tcPr>
            <w:tcW w:w="2832" w:type="dxa"/>
          </w:tcPr>
          <w:p w14:paraId="38D768E6" w14:textId="412FEEF2" w:rsidR="00F15F11" w:rsidRDefault="00FA1E93" w:rsidP="00FA1E93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Serviço oferecido n</w:t>
            </w:r>
            <w:r w:rsidR="00F15F11">
              <w:rPr>
                <w:rFonts w:ascii="Tahoma" w:hAnsi="Tahoma" w:cs="Tahoma"/>
              </w:rPr>
              <w:t>as 67 unidades básicas de saúde</w:t>
            </w:r>
          </w:p>
        </w:tc>
      </w:tr>
      <w:tr w:rsidR="00F15F11" w14:paraId="00A7A27A" w14:textId="77777777" w:rsidTr="003B684B">
        <w:tc>
          <w:tcPr>
            <w:tcW w:w="2831" w:type="dxa"/>
          </w:tcPr>
          <w:p w14:paraId="2F2CAF74" w14:textId="36577FE1" w:rsidR="00F15F11" w:rsidRDefault="009E73DC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="00F15F11">
              <w:rPr>
                <w:rFonts w:ascii="Tahoma" w:hAnsi="Tahoma" w:cs="Tahoma"/>
              </w:rPr>
              <w:t>eitos de UTI</w:t>
            </w:r>
            <w:r w:rsidR="00FA1E93">
              <w:rPr>
                <w:rFonts w:ascii="Tahoma" w:hAnsi="Tahoma" w:cs="Tahoma"/>
              </w:rPr>
              <w:t xml:space="preserve"> no HMC</w:t>
            </w:r>
          </w:p>
        </w:tc>
        <w:tc>
          <w:tcPr>
            <w:tcW w:w="2831" w:type="dxa"/>
          </w:tcPr>
          <w:p w14:paraId="67150ED4" w14:textId="72AA6F73" w:rsidR="00F15F11" w:rsidRDefault="00062DC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 pediátrica fechada</w:t>
            </w:r>
          </w:p>
          <w:p w14:paraId="6053C457" w14:textId="524B9886" w:rsidR="00062DCB" w:rsidRDefault="00062DC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14:paraId="7C67D20D" w14:textId="394BE07C" w:rsidR="009E73DC" w:rsidRDefault="00FA1E93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Reabertos </w:t>
            </w:r>
            <w:r w:rsidR="00E74706">
              <w:rPr>
                <w:rFonts w:ascii="Tahoma" w:hAnsi="Tahoma" w:cs="Tahoma"/>
              </w:rPr>
              <w:t xml:space="preserve">os </w:t>
            </w:r>
            <w:r>
              <w:rPr>
                <w:rFonts w:ascii="Tahoma" w:hAnsi="Tahoma" w:cs="Tahoma"/>
              </w:rPr>
              <w:t>10</w:t>
            </w:r>
            <w:r w:rsidR="00E74706">
              <w:rPr>
                <w:rFonts w:ascii="Tahoma" w:hAnsi="Tahoma" w:cs="Tahoma"/>
              </w:rPr>
              <w:t xml:space="preserve"> leitos </w:t>
            </w:r>
            <w:r>
              <w:rPr>
                <w:rFonts w:ascii="Tahoma" w:hAnsi="Tahoma" w:cs="Tahoma"/>
              </w:rPr>
              <w:t>pediátricos</w:t>
            </w:r>
          </w:p>
          <w:p w14:paraId="08A01739" w14:textId="16C92BA3" w:rsidR="00062DCB" w:rsidRDefault="00062DC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</w:p>
        </w:tc>
      </w:tr>
      <w:tr w:rsidR="00FA1E93" w14:paraId="3DA518FD" w14:textId="77777777" w:rsidTr="003B684B">
        <w:tc>
          <w:tcPr>
            <w:tcW w:w="2831" w:type="dxa"/>
          </w:tcPr>
          <w:p w14:paraId="7B4D9556" w14:textId="14B80527" w:rsidR="00FA1E93" w:rsidRDefault="00FA1E93" w:rsidP="00FA1E93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Leitos de UTI no Hospital e Pronto Socorro</w:t>
            </w:r>
          </w:p>
        </w:tc>
        <w:tc>
          <w:tcPr>
            <w:tcW w:w="2831" w:type="dxa"/>
          </w:tcPr>
          <w:p w14:paraId="6A66EB44" w14:textId="7DC94B1C" w:rsidR="00FA1E93" w:rsidRDefault="00E74706" w:rsidP="00E74706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 leitos fechados nas </w:t>
            </w:r>
            <w:proofErr w:type="spellStart"/>
            <w:r w:rsidR="00FA1E93">
              <w:rPr>
                <w:rFonts w:ascii="Tahoma" w:hAnsi="Tahoma" w:cs="Tahoma"/>
              </w:rPr>
              <w:t>UTIs</w:t>
            </w:r>
            <w:proofErr w:type="spellEnd"/>
            <w:r>
              <w:rPr>
                <w:rFonts w:ascii="Tahoma" w:hAnsi="Tahoma" w:cs="Tahoma"/>
              </w:rPr>
              <w:t xml:space="preserve"> pediátrica e adulto</w:t>
            </w:r>
          </w:p>
        </w:tc>
        <w:tc>
          <w:tcPr>
            <w:tcW w:w="2832" w:type="dxa"/>
          </w:tcPr>
          <w:p w14:paraId="095C869E" w14:textId="593E9B5A" w:rsidR="00FA1E93" w:rsidRDefault="00FA1E93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Reabertos 8 </w:t>
            </w:r>
            <w:r w:rsidR="002C02E0">
              <w:rPr>
                <w:rFonts w:ascii="Tahoma" w:hAnsi="Tahoma" w:cs="Tahoma"/>
              </w:rPr>
              <w:t xml:space="preserve">leitos </w:t>
            </w:r>
            <w:r>
              <w:rPr>
                <w:rFonts w:ascii="Tahoma" w:hAnsi="Tahoma" w:cs="Tahoma"/>
              </w:rPr>
              <w:t>pediátricos e 9 adulto</w:t>
            </w:r>
          </w:p>
        </w:tc>
      </w:tr>
      <w:tr w:rsidR="00F15F11" w14:paraId="1256A480" w14:textId="77777777" w:rsidTr="003B684B">
        <w:tc>
          <w:tcPr>
            <w:tcW w:w="2831" w:type="dxa"/>
          </w:tcPr>
          <w:p w14:paraId="2BAF246C" w14:textId="45A7C4B8" w:rsidR="00F15F11" w:rsidRDefault="009E73DC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F15F11">
              <w:rPr>
                <w:rFonts w:ascii="Tahoma" w:hAnsi="Tahoma" w:cs="Tahoma"/>
              </w:rPr>
              <w:t>édicos</w:t>
            </w:r>
          </w:p>
        </w:tc>
        <w:tc>
          <w:tcPr>
            <w:tcW w:w="2831" w:type="dxa"/>
          </w:tcPr>
          <w:p w14:paraId="79150EFC" w14:textId="60164D44" w:rsidR="00F15F11" w:rsidRDefault="00062DC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Faltavam médicos em 28 Unidades Básicas de Saúde, </w:t>
            </w:r>
            <w:proofErr w:type="spellStart"/>
            <w:r>
              <w:rPr>
                <w:rFonts w:ascii="Tahoma" w:hAnsi="Tahoma" w:cs="Tahoma"/>
              </w:rPr>
              <w:t>UPAs</w:t>
            </w:r>
            <w:proofErr w:type="spellEnd"/>
            <w:r>
              <w:rPr>
                <w:rFonts w:ascii="Tahoma" w:hAnsi="Tahoma" w:cs="Tahoma"/>
              </w:rPr>
              <w:t xml:space="preserve"> e Policlínicas</w:t>
            </w:r>
          </w:p>
        </w:tc>
        <w:tc>
          <w:tcPr>
            <w:tcW w:w="2832" w:type="dxa"/>
          </w:tcPr>
          <w:p w14:paraId="37ECCBE3" w14:textId="15C9E7EB" w:rsidR="00F15F11" w:rsidRDefault="00062DCB" w:rsidP="00FA1E93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Contratação de 77 médicos e con</w:t>
            </w:r>
            <w:r w:rsidR="00FA1E93">
              <w:rPr>
                <w:rFonts w:ascii="Tahoma" w:hAnsi="Tahoma" w:cs="Tahoma"/>
              </w:rPr>
              <w:t>vocação de mais 133</w:t>
            </w:r>
          </w:p>
        </w:tc>
      </w:tr>
      <w:tr w:rsidR="00F15F11" w14:paraId="09CF07D3" w14:textId="77777777" w:rsidTr="003B684B">
        <w:tc>
          <w:tcPr>
            <w:tcW w:w="2831" w:type="dxa"/>
          </w:tcPr>
          <w:p w14:paraId="7E932244" w14:textId="721ABF51" w:rsidR="00F15F11" w:rsidRDefault="009E73DC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F15F11">
              <w:rPr>
                <w:rFonts w:ascii="Tahoma" w:hAnsi="Tahoma" w:cs="Tahoma"/>
              </w:rPr>
              <w:t>edicamentos e insumos</w:t>
            </w:r>
          </w:p>
        </w:tc>
        <w:tc>
          <w:tcPr>
            <w:tcW w:w="2831" w:type="dxa"/>
          </w:tcPr>
          <w:p w14:paraId="6D96770C" w14:textId="75CC14EF" w:rsidR="00F15F11" w:rsidRDefault="00062DCB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Falta de remédios insumos básicos, como </w:t>
            </w:r>
            <w:r w:rsidRPr="00062DCB">
              <w:rPr>
                <w:rFonts w:ascii="Tahoma" w:hAnsi="Tahoma" w:cs="Tahoma"/>
              </w:rPr>
              <w:t>dipirona, esparadrapo, gaze e ataduras</w:t>
            </w:r>
          </w:p>
        </w:tc>
        <w:tc>
          <w:tcPr>
            <w:tcW w:w="2832" w:type="dxa"/>
          </w:tcPr>
          <w:p w14:paraId="4061FA60" w14:textId="3705617A" w:rsidR="00F15F11" w:rsidRDefault="00FA1E93" w:rsidP="00FA1E93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Foram feitas</w:t>
            </w:r>
            <w:r w:rsidR="00062DCB">
              <w:rPr>
                <w:rFonts w:ascii="Tahoma" w:hAnsi="Tahoma" w:cs="Tahoma"/>
              </w:rPr>
              <w:t xml:space="preserve"> compras no valor total de R$ 15,4 milhões</w:t>
            </w:r>
            <w:r w:rsidR="009E51C7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de</w:t>
            </w:r>
            <w:r w:rsidR="009E51C7">
              <w:rPr>
                <w:rFonts w:ascii="Tahoma" w:hAnsi="Tahoma" w:cs="Tahoma"/>
              </w:rPr>
              <w:t xml:space="preserve"> </w:t>
            </w:r>
            <w:r w:rsidR="009E51C7" w:rsidRPr="009E51C7">
              <w:rPr>
                <w:rFonts w:ascii="Tahoma" w:hAnsi="Tahoma" w:cs="Tahoma"/>
              </w:rPr>
              <w:t>antibiót</w:t>
            </w:r>
            <w:r>
              <w:rPr>
                <w:rFonts w:ascii="Tahoma" w:hAnsi="Tahoma" w:cs="Tahoma"/>
              </w:rPr>
              <w:t>icos, anti-inflamatórios,</w:t>
            </w:r>
            <w:r w:rsidR="009E51C7" w:rsidRPr="009E51C7">
              <w:rPr>
                <w:rFonts w:ascii="Tahoma" w:hAnsi="Tahoma" w:cs="Tahoma"/>
              </w:rPr>
              <w:t xml:space="preserve"> analgésicos</w:t>
            </w:r>
            <w:r w:rsidR="009E51C7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entre outros medicamentos, </w:t>
            </w:r>
            <w:r w:rsidR="009E51C7">
              <w:rPr>
                <w:rFonts w:ascii="Tahoma" w:hAnsi="Tahoma" w:cs="Tahoma"/>
              </w:rPr>
              <w:t>insumos e materiais hospitalares.</w:t>
            </w:r>
          </w:p>
        </w:tc>
      </w:tr>
      <w:tr w:rsidR="00F15F11" w14:paraId="753D6EE4" w14:textId="77777777" w:rsidTr="003B684B">
        <w:tc>
          <w:tcPr>
            <w:tcW w:w="2831" w:type="dxa"/>
          </w:tcPr>
          <w:p w14:paraId="4C108BE8" w14:textId="7CE2C0E4" w:rsidR="00F15F11" w:rsidRDefault="00F15F11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2A4666">
              <w:rPr>
                <w:rFonts w:ascii="Tahoma" w:hAnsi="Tahoma" w:cs="Tahoma"/>
              </w:rPr>
              <w:t xml:space="preserve">quipamentos de </w:t>
            </w:r>
            <w:proofErr w:type="spellStart"/>
            <w:r>
              <w:rPr>
                <w:rFonts w:ascii="Tahoma" w:hAnsi="Tahoma" w:cs="Tahoma"/>
              </w:rPr>
              <w:t>raio-x</w:t>
            </w:r>
            <w:proofErr w:type="spellEnd"/>
          </w:p>
        </w:tc>
        <w:tc>
          <w:tcPr>
            <w:tcW w:w="2831" w:type="dxa"/>
          </w:tcPr>
          <w:p w14:paraId="31D43087" w14:textId="60E0A3D3" w:rsidR="00F15F11" w:rsidRDefault="002A4666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Exames suspensos nas </w:t>
            </w:r>
            <w:proofErr w:type="spellStart"/>
            <w:r>
              <w:rPr>
                <w:rFonts w:ascii="Tahoma" w:hAnsi="Tahoma" w:cs="Tahoma"/>
              </w:rPr>
              <w:t>UPAs</w:t>
            </w:r>
            <w:proofErr w:type="spellEnd"/>
            <w:r>
              <w:rPr>
                <w:rFonts w:ascii="Tahoma" w:hAnsi="Tahoma" w:cs="Tahoma"/>
              </w:rPr>
              <w:t xml:space="preserve"> Verdão, Pascoal Ramos e Morada do Ouro, há 4 meses. Equipamentos foram recolhidos por falta de pagamento às empresas</w:t>
            </w:r>
          </w:p>
        </w:tc>
        <w:tc>
          <w:tcPr>
            <w:tcW w:w="2832" w:type="dxa"/>
          </w:tcPr>
          <w:p w14:paraId="34567E70" w14:textId="535CEEFB" w:rsidR="00F15F11" w:rsidRDefault="002A4666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Exames retomados nas </w:t>
            </w:r>
            <w:proofErr w:type="spellStart"/>
            <w:r>
              <w:rPr>
                <w:rFonts w:ascii="Tahoma" w:hAnsi="Tahoma" w:cs="Tahoma"/>
              </w:rPr>
              <w:t>UPAs</w:t>
            </w:r>
            <w:proofErr w:type="spellEnd"/>
            <w:r>
              <w:rPr>
                <w:rFonts w:ascii="Tahoma" w:hAnsi="Tahoma" w:cs="Tahoma"/>
              </w:rPr>
              <w:t xml:space="preserve"> Verdão e Morada do Ouro, com capacidade para 2 mil procedimentos ao mês cada. Previsão de retomada na UPA Pascoal Ramos, nesta quarta-feira (19)</w:t>
            </w:r>
          </w:p>
        </w:tc>
      </w:tr>
      <w:tr w:rsidR="00F15F11" w14:paraId="521C94DD" w14:textId="77777777" w:rsidTr="003B684B">
        <w:tc>
          <w:tcPr>
            <w:tcW w:w="2831" w:type="dxa"/>
          </w:tcPr>
          <w:p w14:paraId="33191C59" w14:textId="7923F9A2" w:rsidR="00F15F11" w:rsidRDefault="00F15F11" w:rsidP="006D54E2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Regulação</w:t>
            </w:r>
          </w:p>
        </w:tc>
        <w:tc>
          <w:tcPr>
            <w:tcW w:w="2831" w:type="dxa"/>
          </w:tcPr>
          <w:p w14:paraId="6561495D" w14:textId="647947B4" w:rsidR="00F15F11" w:rsidRDefault="00F44000" w:rsidP="00FA1E93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 w:rsidRPr="00F44000">
              <w:rPr>
                <w:rFonts w:ascii="Tahoma" w:hAnsi="Tahoma" w:cs="Tahoma"/>
              </w:rPr>
              <w:t xml:space="preserve">O sistema estava desatualizado, contendo dados que não refletiam a realidade da espera por cirurgias </w:t>
            </w:r>
            <w:r>
              <w:rPr>
                <w:rFonts w:ascii="Tahoma" w:hAnsi="Tahoma" w:cs="Tahoma"/>
              </w:rPr>
              <w:t xml:space="preserve">na rede municipal de saúde. </w:t>
            </w:r>
          </w:p>
        </w:tc>
        <w:tc>
          <w:tcPr>
            <w:tcW w:w="2832" w:type="dxa"/>
          </w:tcPr>
          <w:p w14:paraId="6048561E" w14:textId="30333584" w:rsidR="00F15F11" w:rsidRDefault="00F44000" w:rsidP="00F44000">
            <w:pPr>
              <w:spacing w:before="100" w:beforeAutospacing="1"/>
              <w:jc w:val="both"/>
              <w:rPr>
                <w:rFonts w:ascii="Tahoma" w:hAnsi="Tahoma" w:cs="Tahoma"/>
              </w:rPr>
            </w:pPr>
            <w:r w:rsidRPr="00F44000">
              <w:rPr>
                <w:rFonts w:ascii="Tahoma" w:hAnsi="Tahoma" w:cs="Tahoma"/>
              </w:rPr>
              <w:t>O Gabinet</w:t>
            </w:r>
            <w:r>
              <w:rPr>
                <w:rFonts w:ascii="Tahoma" w:hAnsi="Tahoma" w:cs="Tahoma"/>
              </w:rPr>
              <w:t>e de Intervenção está fazendo a checagem no sistema e regulação para atualizar as solicitações por cirurgias em Cuiabá</w:t>
            </w:r>
          </w:p>
        </w:tc>
      </w:tr>
    </w:tbl>
    <w:p w14:paraId="2010CA2A" w14:textId="77777777" w:rsidR="003B684B" w:rsidRPr="003B684B" w:rsidRDefault="003B684B" w:rsidP="006D54E2">
      <w:pPr>
        <w:spacing w:before="100" w:beforeAutospacing="1" w:after="0" w:line="240" w:lineRule="auto"/>
        <w:jc w:val="both"/>
        <w:rPr>
          <w:rFonts w:ascii="Tahoma" w:hAnsi="Tahoma" w:cs="Tahoma"/>
        </w:rPr>
      </w:pPr>
    </w:p>
    <w:sectPr w:rsidR="003B684B" w:rsidRPr="003B6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97"/>
    <w:rsid w:val="0003676C"/>
    <w:rsid w:val="00053118"/>
    <w:rsid w:val="00062DCB"/>
    <w:rsid w:val="000773CB"/>
    <w:rsid w:val="00085294"/>
    <w:rsid w:val="000B5321"/>
    <w:rsid w:val="000C706C"/>
    <w:rsid w:val="001370DD"/>
    <w:rsid w:val="001477AD"/>
    <w:rsid w:val="00165C40"/>
    <w:rsid w:val="001B4B92"/>
    <w:rsid w:val="00222360"/>
    <w:rsid w:val="00256427"/>
    <w:rsid w:val="00276958"/>
    <w:rsid w:val="00290AFB"/>
    <w:rsid w:val="002A4666"/>
    <w:rsid w:val="002B6E8F"/>
    <w:rsid w:val="002C02E0"/>
    <w:rsid w:val="002D1049"/>
    <w:rsid w:val="002D140D"/>
    <w:rsid w:val="002D1BD5"/>
    <w:rsid w:val="00395A84"/>
    <w:rsid w:val="003A7A60"/>
    <w:rsid w:val="003B40C1"/>
    <w:rsid w:val="003B684B"/>
    <w:rsid w:val="003C5560"/>
    <w:rsid w:val="00403045"/>
    <w:rsid w:val="004070AC"/>
    <w:rsid w:val="0042739C"/>
    <w:rsid w:val="004663E4"/>
    <w:rsid w:val="004C0B7F"/>
    <w:rsid w:val="004C54D8"/>
    <w:rsid w:val="004D4A46"/>
    <w:rsid w:val="004F1349"/>
    <w:rsid w:val="00513DCD"/>
    <w:rsid w:val="005255F2"/>
    <w:rsid w:val="00560706"/>
    <w:rsid w:val="00581C5D"/>
    <w:rsid w:val="005A2D5E"/>
    <w:rsid w:val="005D4571"/>
    <w:rsid w:val="005E1C5D"/>
    <w:rsid w:val="006017C5"/>
    <w:rsid w:val="006033AC"/>
    <w:rsid w:val="00624225"/>
    <w:rsid w:val="00625791"/>
    <w:rsid w:val="00630BB1"/>
    <w:rsid w:val="00636A04"/>
    <w:rsid w:val="00660B5D"/>
    <w:rsid w:val="006C25F0"/>
    <w:rsid w:val="006D54E2"/>
    <w:rsid w:val="00717A30"/>
    <w:rsid w:val="00732360"/>
    <w:rsid w:val="007966FE"/>
    <w:rsid w:val="00835195"/>
    <w:rsid w:val="008514F9"/>
    <w:rsid w:val="008519D7"/>
    <w:rsid w:val="0085759D"/>
    <w:rsid w:val="00861DB1"/>
    <w:rsid w:val="008B5819"/>
    <w:rsid w:val="008E29B4"/>
    <w:rsid w:val="008F0033"/>
    <w:rsid w:val="008F3C8F"/>
    <w:rsid w:val="009231D7"/>
    <w:rsid w:val="00937052"/>
    <w:rsid w:val="00947731"/>
    <w:rsid w:val="00980F02"/>
    <w:rsid w:val="00993EAE"/>
    <w:rsid w:val="009A346C"/>
    <w:rsid w:val="009A59B4"/>
    <w:rsid w:val="009D2129"/>
    <w:rsid w:val="009E25AF"/>
    <w:rsid w:val="009E51C7"/>
    <w:rsid w:val="009E73DC"/>
    <w:rsid w:val="00A2734B"/>
    <w:rsid w:val="00A4537C"/>
    <w:rsid w:val="00A71CAD"/>
    <w:rsid w:val="00A75F4C"/>
    <w:rsid w:val="00A7712A"/>
    <w:rsid w:val="00A83FD1"/>
    <w:rsid w:val="00AE60A5"/>
    <w:rsid w:val="00B10794"/>
    <w:rsid w:val="00B22A90"/>
    <w:rsid w:val="00B37B6C"/>
    <w:rsid w:val="00BC6DE4"/>
    <w:rsid w:val="00BE19D1"/>
    <w:rsid w:val="00C02F97"/>
    <w:rsid w:val="00C27EE8"/>
    <w:rsid w:val="00CA706D"/>
    <w:rsid w:val="00D0179C"/>
    <w:rsid w:val="00D23EEC"/>
    <w:rsid w:val="00D25D2F"/>
    <w:rsid w:val="00D65346"/>
    <w:rsid w:val="00DA15E7"/>
    <w:rsid w:val="00DB6D48"/>
    <w:rsid w:val="00DC5BD9"/>
    <w:rsid w:val="00E00FCB"/>
    <w:rsid w:val="00E10607"/>
    <w:rsid w:val="00E3034E"/>
    <w:rsid w:val="00E74706"/>
    <w:rsid w:val="00E75446"/>
    <w:rsid w:val="00ED469C"/>
    <w:rsid w:val="00ED53F4"/>
    <w:rsid w:val="00F15F11"/>
    <w:rsid w:val="00F316E4"/>
    <w:rsid w:val="00F44000"/>
    <w:rsid w:val="00F73724"/>
    <w:rsid w:val="00FA1E93"/>
    <w:rsid w:val="00FB1BA3"/>
    <w:rsid w:val="00FB6B61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F65"/>
  <w15:docId w15:val="{C1DB3878-32C7-45D6-8AFC-30D828C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DC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B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gcom</dc:creator>
  <cp:lastModifiedBy>Pollyana Araujo</cp:lastModifiedBy>
  <cp:revision>2</cp:revision>
  <cp:lastPrinted>2023-01-03T19:38:00Z</cp:lastPrinted>
  <dcterms:created xsi:type="dcterms:W3CDTF">2023-04-19T20:01:00Z</dcterms:created>
  <dcterms:modified xsi:type="dcterms:W3CDTF">2023-04-19T20:01:00Z</dcterms:modified>
</cp:coreProperties>
</file>